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77" w:rsidRPr="004A6A77" w:rsidRDefault="004A6A77" w:rsidP="004A6A77">
      <w:pPr>
        <w:spacing w:before="100" w:beforeAutospacing="1" w:after="240"/>
        <w:jc w:val="left"/>
        <w:rPr>
          <w:rFonts w:ascii="Georgia" w:eastAsia="Times New Roman" w:hAnsi="Georgia" w:cs="Arial"/>
          <w:b/>
          <w:color w:val="787878"/>
          <w:sz w:val="40"/>
          <w:szCs w:val="40"/>
          <w:lang w:eastAsia="it-IT"/>
        </w:rPr>
      </w:pPr>
      <w:r>
        <w:rPr>
          <w:rFonts w:ascii="Georgia" w:eastAsia="Times New Roman" w:hAnsi="Georgia" w:cs="Arial"/>
          <w:color w:val="787878"/>
          <w:sz w:val="18"/>
          <w:szCs w:val="18"/>
          <w:lang w:eastAsia="it-IT"/>
        </w:rPr>
        <w:t>10 gennaio 2014</w:t>
      </w:r>
      <w:r w:rsidRPr="004A6A77">
        <w:rPr>
          <w:rFonts w:ascii="Georgia" w:eastAsia="Times New Roman" w:hAnsi="Georgia" w:cs="Arial"/>
          <w:color w:val="787878"/>
          <w:sz w:val="18"/>
          <w:szCs w:val="18"/>
          <w:lang w:eastAsia="it-IT"/>
        </w:rPr>
        <w:t xml:space="preserve"> </w:t>
      </w:r>
      <w:r>
        <w:rPr>
          <w:rFonts w:ascii="Georgia" w:eastAsia="Times New Roman" w:hAnsi="Georgia" w:cs="Arial"/>
          <w:color w:val="787878"/>
          <w:sz w:val="18"/>
          <w:szCs w:val="18"/>
          <w:lang w:eastAsia="it-IT"/>
        </w:rPr>
        <w:t>–</w:t>
      </w:r>
      <w:r w:rsidRPr="004A6A77">
        <w:rPr>
          <w:rFonts w:ascii="Georgia" w:eastAsia="Times New Roman" w:hAnsi="Georgia" w:cs="Arial"/>
          <w:color w:val="787878"/>
          <w:sz w:val="18"/>
          <w:szCs w:val="18"/>
          <w:lang w:eastAsia="it-IT"/>
        </w:rPr>
        <w:t xml:space="preserve"> </w:t>
      </w:r>
      <w:bookmarkStart w:id="0" w:name="_GoBack"/>
      <w:bookmarkEnd w:id="0"/>
      <w:r>
        <w:rPr>
          <w:rFonts w:ascii="Georgia" w:eastAsia="Times New Roman" w:hAnsi="Georgia" w:cs="Arial"/>
          <w:color w:val="787878"/>
          <w:sz w:val="18"/>
          <w:szCs w:val="18"/>
          <w:lang w:eastAsia="it-IT"/>
        </w:rPr>
        <w:br/>
      </w:r>
      <w:r w:rsidRPr="004A6A77">
        <w:rPr>
          <w:rFonts w:ascii="Georgia" w:eastAsia="Times New Roman" w:hAnsi="Georgia" w:cs="Arial"/>
          <w:b/>
          <w:color w:val="787878"/>
          <w:sz w:val="40"/>
          <w:szCs w:val="40"/>
          <w:lang w:eastAsia="it-IT"/>
        </w:rPr>
        <w:t xml:space="preserve">Corriere della Sera </w:t>
      </w:r>
    </w:p>
    <w:p w:rsidR="004A6A77" w:rsidRPr="004A6A77" w:rsidRDefault="004A6A77" w:rsidP="004A6A77">
      <w:pPr>
        <w:spacing w:before="100" w:beforeAutospacing="1" w:after="100" w:afterAutospacing="1"/>
        <w:jc w:val="left"/>
        <w:outlineLvl w:val="3"/>
        <w:rPr>
          <w:rFonts w:ascii="Arial" w:eastAsia="Times New Roman" w:hAnsi="Arial" w:cs="Arial"/>
          <w:caps/>
          <w:color w:val="5B5B5B"/>
          <w:sz w:val="18"/>
          <w:szCs w:val="18"/>
          <w:lang w:eastAsia="it-IT"/>
        </w:rPr>
      </w:pPr>
      <w:r>
        <w:rPr>
          <w:rFonts w:ascii="Arial" w:eastAsia="Times New Roman" w:hAnsi="Arial" w:cs="Arial"/>
          <w:caps/>
          <w:color w:val="5B5B5B"/>
          <w:sz w:val="18"/>
          <w:szCs w:val="18"/>
          <w:lang w:eastAsia="it-IT"/>
        </w:rPr>
        <w:t>L’</w:t>
      </w:r>
      <w:r w:rsidRPr="004A6A77">
        <w:rPr>
          <w:rFonts w:ascii="Arial" w:eastAsia="Times New Roman" w:hAnsi="Arial" w:cs="Arial"/>
          <w:caps/>
          <w:color w:val="5B5B5B"/>
          <w:sz w:val="18"/>
          <w:szCs w:val="18"/>
          <w:lang w:eastAsia="it-IT"/>
        </w:rPr>
        <w:t>analisi</w:t>
      </w:r>
    </w:p>
    <w:p w:rsidR="004A6A77" w:rsidRPr="004A6A77" w:rsidRDefault="004A6A77" w:rsidP="004A6A77">
      <w:pPr>
        <w:spacing w:before="100" w:beforeAutospacing="1"/>
        <w:jc w:val="left"/>
        <w:outlineLvl w:val="1"/>
        <w:rPr>
          <w:rFonts w:ascii="Georgia" w:eastAsia="Times New Roman" w:hAnsi="Georgia" w:cs="Arial"/>
          <w:b/>
          <w:color w:val="231F20"/>
          <w:spacing w:val="-15"/>
          <w:kern w:val="36"/>
          <w:sz w:val="44"/>
          <w:szCs w:val="44"/>
          <w:lang w:eastAsia="it-IT"/>
        </w:rPr>
      </w:pPr>
      <w:r w:rsidRPr="004A6A77">
        <w:rPr>
          <w:rFonts w:ascii="Georgia" w:eastAsia="Times New Roman" w:hAnsi="Georgia" w:cs="Arial"/>
          <w:b/>
          <w:color w:val="231F20"/>
          <w:spacing w:val="-15"/>
          <w:kern w:val="36"/>
          <w:sz w:val="44"/>
          <w:szCs w:val="44"/>
          <w:lang w:eastAsia="it-IT"/>
        </w:rPr>
        <w:t>La Lezione di Londra e Parigi e quello che si può fare subito per i giovani disoccupati</w:t>
      </w:r>
    </w:p>
    <w:p w:rsidR="004A6A77" w:rsidRPr="004A6A77" w:rsidRDefault="004A6A77" w:rsidP="004A6A77">
      <w:pPr>
        <w:spacing w:before="48" w:after="216"/>
        <w:jc w:val="left"/>
        <w:outlineLvl w:val="2"/>
        <w:rPr>
          <w:rFonts w:ascii="Georgia" w:eastAsia="Times New Roman" w:hAnsi="Georgia" w:cs="Arial"/>
          <w:i/>
          <w:iCs/>
          <w:color w:val="535A5B"/>
          <w:sz w:val="24"/>
          <w:szCs w:val="24"/>
          <w:lang w:eastAsia="it-IT"/>
        </w:rPr>
      </w:pPr>
      <w:r w:rsidRPr="004A6A77">
        <w:rPr>
          <w:rFonts w:ascii="Georgia" w:eastAsia="Times New Roman" w:hAnsi="Georgia" w:cs="Arial"/>
          <w:i/>
          <w:iCs/>
          <w:color w:val="535A5B"/>
          <w:sz w:val="24"/>
          <w:szCs w:val="24"/>
          <w:lang w:eastAsia="it-IT"/>
        </w:rPr>
        <w:t>I dubbi Ue sull’Italia La Commissione nutre dei dubbi sulle misure pensate dal governo Letta in particolare sulla loro attuazione nei vari contesti territoriali. Buoni esempi Saggia l’idea francese di realizzare il programma Ue a tappe, con incentivi ai lavori del futuro e l’iniziativa inglese di responsabilizzare i giovani</w:t>
      </w:r>
    </w:p>
    <w:p w:rsidR="004A6A77" w:rsidRPr="004A6A77" w:rsidRDefault="004A6A77" w:rsidP="004A6A77">
      <w:pPr>
        <w:spacing w:before="100" w:beforeAutospacing="1" w:after="240"/>
        <w:jc w:val="left"/>
        <w:rPr>
          <w:rFonts w:ascii="Georgia" w:eastAsia="Times New Roman" w:hAnsi="Georgia" w:cs="Arial"/>
          <w:b/>
          <w:color w:val="464646"/>
          <w:sz w:val="21"/>
          <w:szCs w:val="21"/>
          <w:lang w:eastAsia="it-IT"/>
        </w:rPr>
      </w:pPr>
      <w:r w:rsidRPr="004A6A77">
        <w:rPr>
          <w:rFonts w:ascii="Georgia" w:eastAsia="Times New Roman" w:hAnsi="Georgia" w:cs="Arial"/>
          <w:b/>
          <w:color w:val="464646"/>
          <w:sz w:val="21"/>
          <w:szCs w:val="21"/>
          <w:lang w:eastAsia="it-IT"/>
        </w:rPr>
        <w:t>Maurizio Ferrera</w:t>
      </w:r>
    </w:p>
    <w:p w:rsidR="004A6A77" w:rsidRPr="004A6A77" w:rsidRDefault="004A6A77" w:rsidP="004A6A77">
      <w:pPr>
        <w:spacing w:before="100" w:beforeAutospacing="1" w:after="240"/>
        <w:jc w:val="left"/>
        <w:rPr>
          <w:rFonts w:ascii="Georgia" w:eastAsia="Times New Roman" w:hAnsi="Georgia" w:cs="Arial"/>
          <w:color w:val="464646"/>
          <w:sz w:val="21"/>
          <w:szCs w:val="21"/>
          <w:lang w:eastAsia="it-IT"/>
        </w:rPr>
      </w:pPr>
      <w:r>
        <w:rPr>
          <w:rFonts w:ascii="Georgia" w:eastAsia="Times New Roman" w:hAnsi="Georgia" w:cs="Arial"/>
          <w:color w:val="464646"/>
          <w:sz w:val="21"/>
          <w:szCs w:val="21"/>
          <w:lang w:eastAsia="it-IT"/>
        </w:rPr>
        <w:t>D</w:t>
      </w:r>
      <w:r w:rsidRPr="004A6A77">
        <w:rPr>
          <w:rFonts w:ascii="Georgia" w:eastAsia="Times New Roman" w:hAnsi="Georgia" w:cs="Arial"/>
          <w:color w:val="464646"/>
          <w:sz w:val="21"/>
          <w:szCs w:val="21"/>
          <w:lang w:eastAsia="it-IT"/>
        </w:rPr>
        <w:t>l primo gennaio ha preso formalmente avvio il programma Ue «garanzia giovani», volto a promuovere l</w:t>
      </w:r>
      <w:r>
        <w:rPr>
          <w:rFonts w:ascii="Georgia" w:eastAsia="Times New Roman" w:hAnsi="Georgia" w:cs="Arial"/>
          <w:color w:val="464646"/>
          <w:sz w:val="21"/>
          <w:szCs w:val="21"/>
          <w:lang w:eastAsia="it-IT"/>
        </w:rPr>
        <w:t>’</w:t>
      </w:r>
      <w:r w:rsidRPr="004A6A77">
        <w:rPr>
          <w:rFonts w:ascii="Georgia" w:eastAsia="Times New Roman" w:hAnsi="Georgia" w:cs="Arial"/>
          <w:color w:val="464646"/>
          <w:sz w:val="21"/>
          <w:szCs w:val="21"/>
          <w:lang w:eastAsia="it-IT"/>
        </w:rPr>
        <w:t>inserimento occupazionale dei circa 6 milioni di disoccupati europei sotto i 25 anni. Molti governi hanno già presentato alla Commissione i propri Piani di attuazione, indispensabili per accedere al cofinanziamento Ue. Come ha ben spiegato Beppe Severgnini sul «Corriere» di ieri, la sfida del lavoro giovanile (che non c</w:t>
      </w:r>
      <w:r>
        <w:rPr>
          <w:rFonts w:ascii="Georgia" w:eastAsia="Times New Roman" w:hAnsi="Georgia" w:cs="Arial"/>
          <w:color w:val="464646"/>
          <w:sz w:val="21"/>
          <w:szCs w:val="21"/>
          <w:lang w:eastAsia="it-IT"/>
        </w:rPr>
        <w:t>’</w:t>
      </w:r>
      <w:r w:rsidRPr="004A6A77">
        <w:rPr>
          <w:rFonts w:ascii="Georgia" w:eastAsia="Times New Roman" w:hAnsi="Georgia" w:cs="Arial"/>
          <w:color w:val="464646"/>
          <w:sz w:val="21"/>
          <w:szCs w:val="21"/>
          <w:lang w:eastAsia="it-IT"/>
        </w:rPr>
        <w:t>è) è particolarmente acuta nel nostro Paese. In linea con le direttive Ue, il Piano del governo Letta mira a garantire ai giovani disponibili al</w:t>
      </w:r>
      <w:r>
        <w:rPr>
          <w:rFonts w:ascii="Georgia" w:eastAsia="Times New Roman" w:hAnsi="Georgia" w:cs="Arial"/>
          <w:color w:val="464646"/>
          <w:sz w:val="21"/>
          <w:szCs w:val="21"/>
          <w:lang w:eastAsia="it-IT"/>
        </w:rPr>
        <w:t xml:space="preserve"> lavoro una serie di proposte d’</w:t>
      </w:r>
      <w:r w:rsidRPr="004A6A77">
        <w:rPr>
          <w:rFonts w:ascii="Georgia" w:eastAsia="Times New Roman" w:hAnsi="Georgia" w:cs="Arial"/>
          <w:color w:val="464646"/>
          <w:sz w:val="21"/>
          <w:szCs w:val="21"/>
          <w:lang w:eastAsia="it-IT"/>
        </w:rPr>
        <w:t>inserimento: se non proprio contratti di assunzione, almeno apprendistati, tirocini, percorsi di formazione, consulenza e fondi per l</w:t>
      </w:r>
      <w:r>
        <w:rPr>
          <w:rFonts w:ascii="Georgia" w:eastAsia="Times New Roman" w:hAnsi="Georgia" w:cs="Arial"/>
          <w:color w:val="464646"/>
          <w:sz w:val="21"/>
          <w:szCs w:val="21"/>
          <w:lang w:eastAsia="it-IT"/>
        </w:rPr>
        <w:t>’</w:t>
      </w:r>
      <w:r w:rsidRPr="004A6A77">
        <w:rPr>
          <w:rFonts w:ascii="Georgia" w:eastAsia="Times New Roman" w:hAnsi="Georgia" w:cs="Arial"/>
          <w:color w:val="464646"/>
          <w:sz w:val="21"/>
          <w:szCs w:val="21"/>
          <w:lang w:eastAsia="it-IT"/>
        </w:rPr>
        <w:t>avvio d</w:t>
      </w:r>
      <w:r>
        <w:rPr>
          <w:rFonts w:ascii="Georgia" w:eastAsia="Times New Roman" w:hAnsi="Georgia" w:cs="Arial"/>
          <w:color w:val="464646"/>
          <w:sz w:val="21"/>
          <w:szCs w:val="21"/>
          <w:lang w:eastAsia="it-IT"/>
        </w:rPr>
        <w:t>’</w:t>
      </w:r>
      <w:r w:rsidRPr="004A6A77">
        <w:rPr>
          <w:rFonts w:ascii="Georgia" w:eastAsia="Times New Roman" w:hAnsi="Georgia" w:cs="Arial"/>
          <w:color w:val="464646"/>
          <w:sz w:val="21"/>
          <w:szCs w:val="21"/>
          <w:lang w:eastAsia="it-IT"/>
        </w:rPr>
        <w:t>impresa e così via. Il bacino di potenziali beneficiari è stimato in quasi un milione di giovani, di cui più della metà nelle regioni del Sud. In un documento informale, la Commissione ha giudicato il Piano italiano «in linea di massima ade</w:t>
      </w:r>
      <w:r>
        <w:rPr>
          <w:rFonts w:ascii="Georgia" w:eastAsia="Times New Roman" w:hAnsi="Georgia" w:cs="Arial"/>
          <w:color w:val="464646"/>
          <w:sz w:val="21"/>
          <w:szCs w:val="21"/>
          <w:lang w:eastAsia="it-IT"/>
        </w:rPr>
        <w:t>guato», ma ha anche rimarcato l’</w:t>
      </w:r>
      <w:r w:rsidRPr="004A6A77">
        <w:rPr>
          <w:rFonts w:ascii="Georgia" w:eastAsia="Times New Roman" w:hAnsi="Georgia" w:cs="Arial"/>
          <w:color w:val="464646"/>
          <w:sz w:val="21"/>
          <w:szCs w:val="21"/>
          <w:lang w:eastAsia="it-IT"/>
        </w:rPr>
        <w:t xml:space="preserve">assenza di «impegni e quantificazioni precise», in particolare per quanto riguarda le attività delle regioni. </w:t>
      </w:r>
      <w:proofErr w:type="spellStart"/>
      <w:r w:rsidRPr="004A6A77">
        <w:rPr>
          <w:rFonts w:ascii="Georgia" w:eastAsia="Times New Roman" w:hAnsi="Georgia" w:cs="Arial"/>
          <w:color w:val="464646"/>
          <w:sz w:val="21"/>
          <w:szCs w:val="21"/>
          <w:lang w:eastAsia="it-IT"/>
        </w:rPr>
        <w:t>Implementation</w:t>
      </w:r>
      <w:proofErr w:type="spellEnd"/>
      <w:r w:rsidRPr="004A6A77">
        <w:rPr>
          <w:rFonts w:ascii="Georgia" w:eastAsia="Times New Roman" w:hAnsi="Georgia" w:cs="Arial"/>
          <w:color w:val="464646"/>
          <w:sz w:val="21"/>
          <w:szCs w:val="21"/>
          <w:lang w:eastAsia="it-IT"/>
        </w:rPr>
        <w:t xml:space="preserve"> </w:t>
      </w:r>
      <w:proofErr w:type="spellStart"/>
      <w:r w:rsidRPr="004A6A77">
        <w:rPr>
          <w:rFonts w:ascii="Georgia" w:eastAsia="Times New Roman" w:hAnsi="Georgia" w:cs="Arial"/>
          <w:color w:val="464646"/>
          <w:sz w:val="21"/>
          <w:szCs w:val="21"/>
          <w:lang w:eastAsia="it-IT"/>
        </w:rPr>
        <w:t>will</w:t>
      </w:r>
      <w:proofErr w:type="spellEnd"/>
      <w:r w:rsidRPr="004A6A77">
        <w:rPr>
          <w:rFonts w:ascii="Georgia" w:eastAsia="Times New Roman" w:hAnsi="Georgia" w:cs="Arial"/>
          <w:color w:val="464646"/>
          <w:sz w:val="21"/>
          <w:szCs w:val="21"/>
          <w:lang w:eastAsia="it-IT"/>
        </w:rPr>
        <w:t xml:space="preserve"> be </w:t>
      </w:r>
      <w:proofErr w:type="spellStart"/>
      <w:r w:rsidRPr="004A6A77">
        <w:rPr>
          <w:rFonts w:ascii="Georgia" w:eastAsia="Times New Roman" w:hAnsi="Georgia" w:cs="Arial"/>
          <w:color w:val="464646"/>
          <w:sz w:val="21"/>
          <w:szCs w:val="21"/>
          <w:lang w:eastAsia="it-IT"/>
        </w:rPr>
        <w:t>key</w:t>
      </w:r>
      <w:proofErr w:type="spellEnd"/>
      <w:r w:rsidRPr="004A6A77">
        <w:rPr>
          <w:rFonts w:ascii="Georgia" w:eastAsia="Times New Roman" w:hAnsi="Georgia" w:cs="Arial"/>
          <w:color w:val="464646"/>
          <w:sz w:val="21"/>
          <w:szCs w:val="21"/>
          <w:lang w:eastAsia="it-IT"/>
        </w:rPr>
        <w:t xml:space="preserve"> , conclude il </w:t>
      </w:r>
      <w:r>
        <w:rPr>
          <w:rFonts w:ascii="Georgia" w:eastAsia="Times New Roman" w:hAnsi="Georgia" w:cs="Arial"/>
          <w:color w:val="464646"/>
          <w:sz w:val="21"/>
          <w:szCs w:val="21"/>
          <w:lang w:eastAsia="it-IT"/>
        </w:rPr>
        <w:t>documento: tutto dipenderà dall’</w:t>
      </w:r>
      <w:r w:rsidRPr="004A6A77">
        <w:rPr>
          <w:rFonts w:ascii="Georgia" w:eastAsia="Times New Roman" w:hAnsi="Georgia" w:cs="Arial"/>
          <w:color w:val="464646"/>
          <w:sz w:val="21"/>
          <w:szCs w:val="21"/>
          <w:lang w:eastAsia="it-IT"/>
        </w:rPr>
        <w:t>attuazione nei vari contesti territoriali. Come (quasi) sempre, la Commissione ha colto il punto. Per le nostre claudicanti amministrazioni regionali</w:t>
      </w:r>
      <w:r>
        <w:rPr>
          <w:rFonts w:ascii="Georgia" w:eastAsia="Times New Roman" w:hAnsi="Georgia" w:cs="Arial"/>
          <w:color w:val="464646"/>
          <w:sz w:val="21"/>
          <w:szCs w:val="21"/>
          <w:lang w:eastAsia="it-IT"/>
        </w:rPr>
        <w:t xml:space="preserve"> e i loro fragili servizi per l’</w:t>
      </w:r>
      <w:r w:rsidRPr="004A6A77">
        <w:rPr>
          <w:rFonts w:ascii="Georgia" w:eastAsia="Times New Roman" w:hAnsi="Georgia" w:cs="Arial"/>
          <w:color w:val="464646"/>
          <w:sz w:val="21"/>
          <w:szCs w:val="21"/>
          <w:lang w:eastAsia="it-IT"/>
        </w:rPr>
        <w:t>impiego sarà molto difficile mantenere le promesse. Campania e Sicilia dovrebbero «garantire» (espressione molto impegnativa) proposte di inserimento a più di 150.000 giovani entro quattro mesi dalla loro iscrizione al nuovo schema; la Puglia quasi 100.000, la Calabria 50.000. Saggiamente, il Piano cerca di</w:t>
      </w:r>
      <w:r>
        <w:rPr>
          <w:rFonts w:ascii="Georgia" w:eastAsia="Times New Roman" w:hAnsi="Georgia" w:cs="Arial"/>
          <w:color w:val="464646"/>
          <w:sz w:val="21"/>
          <w:szCs w:val="21"/>
          <w:lang w:eastAsia="it-IT"/>
        </w:rPr>
        <w:t xml:space="preserve"> mantenere le redini di tutta l’</w:t>
      </w:r>
      <w:r w:rsidRPr="004A6A77">
        <w:rPr>
          <w:rFonts w:ascii="Georgia" w:eastAsia="Times New Roman" w:hAnsi="Georgia" w:cs="Arial"/>
          <w:color w:val="464646"/>
          <w:sz w:val="21"/>
          <w:szCs w:val="21"/>
          <w:lang w:eastAsia="it-IT"/>
        </w:rPr>
        <w:t>operazione in capo al ministero del Lavoro, affidando alle regioni il ruolo di gestori delegati. Ma ciò sarà possibile sul piano politico e istituzionale? E, soprattutto, sapranno le amministrazioni regionali svolgere con un minimo di efficienza ed efficacia anche solo le funzioni delegate? Purtroppo, è lecito dubitarne: non per partito preso, ma sulla base dell</w:t>
      </w:r>
      <w:r>
        <w:rPr>
          <w:rFonts w:ascii="Georgia" w:eastAsia="Times New Roman" w:hAnsi="Georgia" w:cs="Arial"/>
          <w:color w:val="464646"/>
          <w:sz w:val="21"/>
          <w:szCs w:val="21"/>
          <w:lang w:eastAsia="it-IT"/>
        </w:rPr>
        <w:t>’esperienza dell’</w:t>
      </w:r>
      <w:r w:rsidRPr="004A6A77">
        <w:rPr>
          <w:rFonts w:ascii="Georgia" w:eastAsia="Times New Roman" w:hAnsi="Georgia" w:cs="Arial"/>
          <w:color w:val="464646"/>
          <w:sz w:val="21"/>
          <w:szCs w:val="21"/>
          <w:lang w:eastAsia="it-IT"/>
        </w:rPr>
        <w:t>ultimo decennio, che è stata largamente fallimentare proprio laddove il mercato del lavoro funziona peggio. I dati del primo (sì, primo!) Rapporto di</w:t>
      </w:r>
      <w:r>
        <w:rPr>
          <w:rFonts w:ascii="Georgia" w:eastAsia="Times New Roman" w:hAnsi="Georgia" w:cs="Arial"/>
          <w:color w:val="464646"/>
          <w:sz w:val="21"/>
          <w:szCs w:val="21"/>
          <w:lang w:eastAsia="it-IT"/>
        </w:rPr>
        <w:t xml:space="preserve"> monitoraggio sui servizi per l’</w:t>
      </w:r>
      <w:r w:rsidRPr="004A6A77">
        <w:rPr>
          <w:rFonts w:ascii="Georgia" w:eastAsia="Times New Roman" w:hAnsi="Georgia" w:cs="Arial"/>
          <w:color w:val="464646"/>
          <w:sz w:val="21"/>
          <w:szCs w:val="21"/>
          <w:lang w:eastAsia="it-IT"/>
        </w:rPr>
        <w:t>impiego, meritoriamente realizzato dal ministro Giovannini, segnalano una situazione di drammatica inettitudine. Nel 2012 la Campania ha «garantito» solo 7.000 giovani disoccupati, la Puglia 8000, la Calabria 4000; solo la Sicilia ha fatto un po</w:t>
      </w:r>
      <w:r>
        <w:rPr>
          <w:rFonts w:ascii="Georgia" w:eastAsia="Times New Roman" w:hAnsi="Georgia" w:cs="Arial"/>
          <w:color w:val="464646"/>
          <w:sz w:val="21"/>
          <w:szCs w:val="21"/>
          <w:lang w:eastAsia="it-IT"/>
        </w:rPr>
        <w:t>’</w:t>
      </w:r>
      <w:r w:rsidRPr="004A6A77">
        <w:rPr>
          <w:rFonts w:ascii="Georgia" w:eastAsia="Times New Roman" w:hAnsi="Georgia" w:cs="Arial"/>
          <w:color w:val="464646"/>
          <w:sz w:val="21"/>
          <w:szCs w:val="21"/>
          <w:lang w:eastAsia="it-IT"/>
        </w:rPr>
        <w:t xml:space="preserve"> meglio, con circa 30.000 giovani coinvolti in qualche misura di attivazione lavorativa o professionale. Certo, tali modesti risultati vanno in parte ascritti alla scarsità di personale (negli altri Paesi i dipendenti dei servizi per l</w:t>
      </w:r>
      <w:r>
        <w:rPr>
          <w:rFonts w:ascii="Georgia" w:eastAsia="Times New Roman" w:hAnsi="Georgia" w:cs="Arial"/>
          <w:color w:val="464646"/>
          <w:sz w:val="21"/>
          <w:szCs w:val="21"/>
          <w:lang w:eastAsia="it-IT"/>
        </w:rPr>
        <w:t>’</w:t>
      </w:r>
      <w:r w:rsidRPr="004A6A77">
        <w:rPr>
          <w:rFonts w:ascii="Georgia" w:eastAsia="Times New Roman" w:hAnsi="Georgia" w:cs="Arial"/>
          <w:color w:val="464646"/>
          <w:sz w:val="21"/>
          <w:szCs w:val="21"/>
          <w:lang w:eastAsia="it-IT"/>
        </w:rPr>
        <w:t>impiego sono molto più numerosi) e, soprattutto, alle condizioni di strutturale debolezza economica del Mezzogiorno. Come però emerge dalle «buone pratiche» (alcune esistono e andrebbero valorizzate) di alcune regioni, qualche margine per migliorare ci sarebbe. La discrepanza fra le competenze richieste dalle aziende meridionali e quelle possedute dai</w:t>
      </w:r>
      <w:r>
        <w:rPr>
          <w:rFonts w:ascii="Georgia" w:eastAsia="Times New Roman" w:hAnsi="Georgia" w:cs="Arial"/>
          <w:color w:val="464646"/>
          <w:sz w:val="21"/>
          <w:szCs w:val="21"/>
          <w:lang w:eastAsia="it-IT"/>
        </w:rPr>
        <w:t xml:space="preserve"> giovani è fra le più elevate d’</w:t>
      </w:r>
      <w:r w:rsidRPr="004A6A77">
        <w:rPr>
          <w:rFonts w:ascii="Georgia" w:eastAsia="Times New Roman" w:hAnsi="Georgia" w:cs="Arial"/>
          <w:color w:val="464646"/>
          <w:sz w:val="21"/>
          <w:szCs w:val="21"/>
          <w:lang w:eastAsia="it-IT"/>
        </w:rPr>
        <w:t>Europa: in altre parole, ci sono molte imprese che potrebbero assumere, ma non trovano personale con le qualifiche appropriate. È su questo fronte che andrebbero concentrati i primi sforzi. Le risorse finanziarie disponibili per la garanzia giovani nel 2014 non sono poche (circa un miliardo e mezzo) e qualche passo in avanti potrà essere fatto, anche al Sud. Considerand</w:t>
      </w:r>
      <w:r>
        <w:rPr>
          <w:rFonts w:ascii="Georgia" w:eastAsia="Times New Roman" w:hAnsi="Georgia" w:cs="Arial"/>
          <w:color w:val="464646"/>
          <w:sz w:val="21"/>
          <w:szCs w:val="21"/>
          <w:lang w:eastAsia="it-IT"/>
        </w:rPr>
        <w:t>o i nostri punti di partenza, l’</w:t>
      </w:r>
      <w:r w:rsidRPr="004A6A77">
        <w:rPr>
          <w:rFonts w:ascii="Georgia" w:eastAsia="Times New Roman" w:hAnsi="Georgia" w:cs="Arial"/>
          <w:color w:val="464646"/>
          <w:sz w:val="21"/>
          <w:szCs w:val="21"/>
          <w:lang w:eastAsia="it-IT"/>
        </w:rPr>
        <w:t>attuale versione del Piano appare però troppo generica e ambiziosa: è auspicabile fissare alcune priorità e obiettivi specifici, come del resto ci ha chiesto la Commissione. La Francia ha scelto di realizzare la garanzia giovani per tappe, iniziando da schemi pilota in alcuni dipartimenti per arrivare «a regime» nel 2016. Non sarebbe più prudente seguire questa strad</w:t>
      </w:r>
      <w:r>
        <w:rPr>
          <w:rFonts w:ascii="Georgia" w:eastAsia="Times New Roman" w:hAnsi="Georgia" w:cs="Arial"/>
          <w:color w:val="464646"/>
          <w:sz w:val="21"/>
          <w:szCs w:val="21"/>
          <w:lang w:eastAsia="it-IT"/>
        </w:rPr>
        <w:t>a? O quanto meno condizionare l’</w:t>
      </w:r>
      <w:r w:rsidRPr="004A6A77">
        <w:rPr>
          <w:rFonts w:ascii="Georgia" w:eastAsia="Times New Roman" w:hAnsi="Georgia" w:cs="Arial"/>
          <w:color w:val="464646"/>
          <w:sz w:val="21"/>
          <w:szCs w:val="21"/>
          <w:lang w:eastAsia="it-IT"/>
        </w:rPr>
        <w:t>accesso ai fondi Ue e nazionali in base all</w:t>
      </w:r>
      <w:r>
        <w:rPr>
          <w:rFonts w:ascii="Georgia" w:eastAsia="Times New Roman" w:hAnsi="Georgia" w:cs="Arial"/>
          <w:color w:val="464646"/>
          <w:sz w:val="21"/>
          <w:szCs w:val="21"/>
          <w:lang w:eastAsia="it-IT"/>
        </w:rPr>
        <w:t>’</w:t>
      </w:r>
      <w:r w:rsidRPr="004A6A77">
        <w:rPr>
          <w:rFonts w:ascii="Georgia" w:eastAsia="Times New Roman" w:hAnsi="Georgia" w:cs="Arial"/>
          <w:color w:val="464646"/>
          <w:sz w:val="21"/>
          <w:szCs w:val="21"/>
          <w:lang w:eastAsia="it-IT"/>
        </w:rPr>
        <w:t>effettiva performance (anche progettuale) delle Regioni? Si potrebbe inoltre prendere ispirazione da altri elementi della strategia di Parigi, come gli incentivi ai cosiddetti «</w:t>
      </w:r>
      <w:proofErr w:type="spellStart"/>
      <w:r w:rsidRPr="004A6A77">
        <w:rPr>
          <w:rFonts w:ascii="Georgia" w:eastAsia="Times New Roman" w:hAnsi="Georgia" w:cs="Arial"/>
          <w:color w:val="464646"/>
          <w:sz w:val="21"/>
          <w:szCs w:val="21"/>
          <w:lang w:eastAsia="it-IT"/>
        </w:rPr>
        <w:t>emplois</w:t>
      </w:r>
      <w:proofErr w:type="spellEnd"/>
      <w:r w:rsidRPr="004A6A77">
        <w:rPr>
          <w:rFonts w:ascii="Georgia" w:eastAsia="Times New Roman" w:hAnsi="Georgia" w:cs="Arial"/>
          <w:color w:val="464646"/>
          <w:sz w:val="21"/>
          <w:szCs w:val="21"/>
          <w:lang w:eastAsia="it-IT"/>
        </w:rPr>
        <w:t xml:space="preserve"> de l</w:t>
      </w:r>
      <w:r>
        <w:rPr>
          <w:rFonts w:ascii="Georgia" w:eastAsia="Times New Roman" w:hAnsi="Georgia" w:cs="Arial"/>
          <w:color w:val="464646"/>
          <w:sz w:val="21"/>
          <w:szCs w:val="21"/>
          <w:lang w:eastAsia="it-IT"/>
        </w:rPr>
        <w:t>’</w:t>
      </w:r>
      <w:proofErr w:type="spellStart"/>
      <w:r w:rsidRPr="004A6A77">
        <w:rPr>
          <w:rFonts w:ascii="Georgia" w:eastAsia="Times New Roman" w:hAnsi="Georgia" w:cs="Arial"/>
          <w:color w:val="464646"/>
          <w:sz w:val="21"/>
          <w:szCs w:val="21"/>
          <w:lang w:eastAsia="it-IT"/>
        </w:rPr>
        <w:t>av</w:t>
      </w:r>
      <w:r>
        <w:rPr>
          <w:rFonts w:ascii="Georgia" w:eastAsia="Times New Roman" w:hAnsi="Georgia" w:cs="Arial"/>
          <w:color w:val="464646"/>
          <w:sz w:val="21"/>
          <w:szCs w:val="21"/>
          <w:lang w:eastAsia="it-IT"/>
        </w:rPr>
        <w:t>enir</w:t>
      </w:r>
      <w:proofErr w:type="spellEnd"/>
      <w:r>
        <w:rPr>
          <w:rFonts w:ascii="Georgia" w:eastAsia="Times New Roman" w:hAnsi="Georgia" w:cs="Arial"/>
          <w:color w:val="464646"/>
          <w:sz w:val="21"/>
          <w:szCs w:val="21"/>
          <w:lang w:eastAsia="it-IT"/>
        </w:rPr>
        <w:t xml:space="preserve"> », i lavori del futuro. Un’</w:t>
      </w:r>
      <w:r w:rsidRPr="004A6A77">
        <w:rPr>
          <w:rFonts w:ascii="Georgia" w:eastAsia="Times New Roman" w:hAnsi="Georgia" w:cs="Arial"/>
          <w:color w:val="464646"/>
          <w:sz w:val="21"/>
          <w:szCs w:val="21"/>
          <w:lang w:eastAsia="it-IT"/>
        </w:rPr>
        <w:t>altra buona i</w:t>
      </w:r>
      <w:r>
        <w:rPr>
          <w:rFonts w:ascii="Georgia" w:eastAsia="Times New Roman" w:hAnsi="Georgia" w:cs="Arial"/>
          <w:color w:val="464646"/>
          <w:sz w:val="21"/>
          <w:szCs w:val="21"/>
          <w:lang w:eastAsia="it-IT"/>
        </w:rPr>
        <w:t xml:space="preserve">dea è il programma </w:t>
      </w:r>
      <w:proofErr w:type="spellStart"/>
      <w:r>
        <w:rPr>
          <w:rFonts w:ascii="Georgia" w:eastAsia="Times New Roman" w:hAnsi="Georgia" w:cs="Arial"/>
          <w:color w:val="464646"/>
          <w:sz w:val="21"/>
          <w:szCs w:val="21"/>
          <w:lang w:eastAsia="it-IT"/>
        </w:rPr>
        <w:t>Myplace</w:t>
      </w:r>
      <w:proofErr w:type="spellEnd"/>
      <w:r>
        <w:rPr>
          <w:rFonts w:ascii="Georgia" w:eastAsia="Times New Roman" w:hAnsi="Georgia" w:cs="Arial"/>
          <w:color w:val="464646"/>
          <w:sz w:val="21"/>
          <w:szCs w:val="21"/>
          <w:lang w:eastAsia="it-IT"/>
        </w:rPr>
        <w:t xml:space="preserve"> dell’</w:t>
      </w:r>
      <w:r w:rsidRPr="004A6A77">
        <w:rPr>
          <w:rFonts w:ascii="Georgia" w:eastAsia="Times New Roman" w:hAnsi="Georgia" w:cs="Arial"/>
          <w:color w:val="464646"/>
          <w:sz w:val="21"/>
          <w:szCs w:val="21"/>
          <w:lang w:eastAsia="it-IT"/>
        </w:rPr>
        <w:t>Inghilterra, che aiuta i giovani ad aiutarsi da soli: fondi, spazi, informazioni e consigli a gruppi di ragazzi e ragazze disposti a cercare e «agganciare», anche tramite attività di servizio civile, chi è totalmente fuori da ogni circuito (gli esclusi fra gli esclusi). Per il governo Letta la garanzia giovani è una scommessa doverosa, ma anche molto rischiosa. Occorre uno sforzo straordinario di progettazione e gestione, evitando al tempo stesso di promettere ciò che è impossibile realizzare. Inoltre è indispensabile responsabilizzare in modo diretto e trasparente tutti i soggetti da cui dip</w:t>
      </w:r>
      <w:r>
        <w:rPr>
          <w:rFonts w:ascii="Georgia" w:eastAsia="Times New Roman" w:hAnsi="Georgia" w:cs="Arial"/>
          <w:color w:val="464646"/>
          <w:sz w:val="21"/>
          <w:szCs w:val="21"/>
          <w:lang w:eastAsia="it-IT"/>
        </w:rPr>
        <w:t>ende l’</w:t>
      </w:r>
      <w:r w:rsidRPr="004A6A77">
        <w:rPr>
          <w:rFonts w:ascii="Georgia" w:eastAsia="Times New Roman" w:hAnsi="Georgia" w:cs="Arial"/>
          <w:color w:val="464646"/>
          <w:sz w:val="21"/>
          <w:szCs w:val="21"/>
          <w:lang w:eastAsia="it-IT"/>
        </w:rPr>
        <w:t>occupazione giovanile. Che non solo i deci</w:t>
      </w:r>
      <w:r>
        <w:rPr>
          <w:rFonts w:ascii="Georgia" w:eastAsia="Times New Roman" w:hAnsi="Georgia" w:cs="Arial"/>
          <w:color w:val="464646"/>
          <w:sz w:val="21"/>
          <w:szCs w:val="21"/>
          <w:lang w:eastAsia="it-IT"/>
        </w:rPr>
        <w:t>sori pubblici e i servizi per l’</w:t>
      </w:r>
      <w:r w:rsidRPr="004A6A77">
        <w:rPr>
          <w:rFonts w:ascii="Georgia" w:eastAsia="Times New Roman" w:hAnsi="Georgia" w:cs="Arial"/>
          <w:color w:val="464646"/>
          <w:sz w:val="21"/>
          <w:szCs w:val="21"/>
          <w:lang w:eastAsia="it-IT"/>
        </w:rPr>
        <w:t>impiego, ma an</w:t>
      </w:r>
      <w:r>
        <w:rPr>
          <w:rFonts w:ascii="Georgia" w:eastAsia="Times New Roman" w:hAnsi="Georgia" w:cs="Arial"/>
          <w:color w:val="464646"/>
          <w:sz w:val="21"/>
          <w:szCs w:val="21"/>
          <w:lang w:eastAsia="it-IT"/>
        </w:rPr>
        <w:t>che le imprese, i sindacati e l’</w:t>
      </w:r>
      <w:r w:rsidRPr="004A6A77">
        <w:rPr>
          <w:rFonts w:ascii="Georgia" w:eastAsia="Times New Roman" w:hAnsi="Georgia" w:cs="Arial"/>
          <w:color w:val="464646"/>
          <w:sz w:val="21"/>
          <w:szCs w:val="21"/>
          <w:lang w:eastAsia="it-IT"/>
        </w:rPr>
        <w:t>insieme di quei «corpi intermedi» che in Italia criticano continuamente la politica ma spesso le chiedono molto più di quanto danno. © RIPRODUZIONE RISERVATA</w:t>
      </w:r>
    </w:p>
    <w:p w:rsidR="00356990" w:rsidRDefault="00356990"/>
    <w:sectPr w:rsidR="00356990" w:rsidSect="004A6A77">
      <w:pgSz w:w="16839" w:h="23814" w:code="8"/>
      <w:pgMar w:top="1417" w:right="1106" w:bottom="7337" w:left="1106" w:header="720" w:footer="720" w:gutter="0"/>
      <w:cols w:space="6124"/>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83FCA"/>
    <w:multiLevelType w:val="multilevel"/>
    <w:tmpl w:val="E070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93303D"/>
    <w:multiLevelType w:val="multilevel"/>
    <w:tmpl w:val="8BDE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77"/>
    <w:rsid w:val="000A393A"/>
    <w:rsid w:val="00356990"/>
    <w:rsid w:val="004A6A77"/>
    <w:rsid w:val="00AB2288"/>
    <w:rsid w:val="00FB77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s1">
    <w:name w:val="footnotes1"/>
    <w:basedOn w:val="Normale"/>
    <w:rsid w:val="004A6A77"/>
    <w:pPr>
      <w:spacing w:before="300" w:after="240"/>
      <w:jc w:val="left"/>
    </w:pPr>
    <w:rPr>
      <w:rFonts w:ascii="Times New Roman" w:eastAsia="Times New Roman" w:hAnsi="Times New Roman" w:cs="Times New Roman"/>
      <w:b/>
      <w:bCs/>
      <w:sz w:val="24"/>
      <w:szCs w:val="24"/>
      <w:lang w:eastAsia="it-IT"/>
    </w:rPr>
  </w:style>
  <w:style w:type="paragraph" w:customStyle="1" w:styleId="footnotes-archivio1">
    <w:name w:val="footnotes-archivio1"/>
    <w:basedOn w:val="Normale"/>
    <w:rsid w:val="004A6A77"/>
    <w:pPr>
      <w:spacing w:before="100" w:beforeAutospacing="1" w:after="240"/>
      <w:jc w:val="left"/>
    </w:pPr>
    <w:rPr>
      <w:rFonts w:ascii="Times New Roman" w:eastAsia="Times New Roman" w:hAnsi="Times New Roman" w:cs="Times New Roman"/>
      <w:color w:val="787878"/>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s1">
    <w:name w:val="footnotes1"/>
    <w:basedOn w:val="Normale"/>
    <w:rsid w:val="004A6A77"/>
    <w:pPr>
      <w:spacing w:before="300" w:after="240"/>
      <w:jc w:val="left"/>
    </w:pPr>
    <w:rPr>
      <w:rFonts w:ascii="Times New Roman" w:eastAsia="Times New Roman" w:hAnsi="Times New Roman" w:cs="Times New Roman"/>
      <w:b/>
      <w:bCs/>
      <w:sz w:val="24"/>
      <w:szCs w:val="24"/>
      <w:lang w:eastAsia="it-IT"/>
    </w:rPr>
  </w:style>
  <w:style w:type="paragraph" w:customStyle="1" w:styleId="footnotes-archivio1">
    <w:name w:val="footnotes-archivio1"/>
    <w:basedOn w:val="Normale"/>
    <w:rsid w:val="004A6A77"/>
    <w:pPr>
      <w:spacing w:before="100" w:beforeAutospacing="1" w:after="240"/>
      <w:jc w:val="left"/>
    </w:pPr>
    <w:rPr>
      <w:rFonts w:ascii="Times New Roman" w:eastAsia="Times New Roman" w:hAnsi="Times New Roman" w:cs="Times New Roman"/>
      <w:color w:val="787878"/>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7920">
      <w:bodyDiv w:val="1"/>
      <w:marLeft w:val="0"/>
      <w:marRight w:val="0"/>
      <w:marTop w:val="0"/>
      <w:marBottom w:val="0"/>
      <w:divBdr>
        <w:top w:val="none" w:sz="0" w:space="0" w:color="auto"/>
        <w:left w:val="none" w:sz="0" w:space="0" w:color="auto"/>
        <w:bottom w:val="none" w:sz="0" w:space="0" w:color="auto"/>
        <w:right w:val="none" w:sz="0" w:space="0" w:color="auto"/>
      </w:divBdr>
      <w:divsChild>
        <w:div w:id="183327280">
          <w:marLeft w:val="0"/>
          <w:marRight w:val="0"/>
          <w:marTop w:val="0"/>
          <w:marBottom w:val="0"/>
          <w:divBdr>
            <w:top w:val="none" w:sz="0" w:space="0" w:color="auto"/>
            <w:left w:val="none" w:sz="0" w:space="0" w:color="auto"/>
            <w:bottom w:val="none" w:sz="0" w:space="0" w:color="auto"/>
            <w:right w:val="none" w:sz="0" w:space="0" w:color="auto"/>
          </w:divBdr>
          <w:divsChild>
            <w:div w:id="70741063">
              <w:marLeft w:val="0"/>
              <w:marRight w:val="0"/>
              <w:marTop w:val="0"/>
              <w:marBottom w:val="0"/>
              <w:divBdr>
                <w:top w:val="none" w:sz="0" w:space="0" w:color="auto"/>
                <w:left w:val="none" w:sz="0" w:space="0" w:color="auto"/>
                <w:bottom w:val="none" w:sz="0" w:space="0" w:color="auto"/>
                <w:right w:val="none" w:sz="0" w:space="0" w:color="auto"/>
              </w:divBdr>
              <w:divsChild>
                <w:div w:id="13853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840</Words>
  <Characters>4790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Celestra</dc:creator>
  <cp:lastModifiedBy>Sandra Celestra</cp:lastModifiedBy>
  <cp:revision>1</cp:revision>
  <dcterms:created xsi:type="dcterms:W3CDTF">2014-01-20T11:17:00Z</dcterms:created>
  <dcterms:modified xsi:type="dcterms:W3CDTF">2014-01-20T11:23:00Z</dcterms:modified>
</cp:coreProperties>
</file>